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Remote &amp; Multi-State COBRA Compliance Checklist</w:t>
      </w:r>
    </w:p>
    <w:p>
      <w:r>
        <w:t>Use this checklist to ensure you're fully compliant with COBRA requirements for remote, hybrid, and multi-state teams. Each section below corresponds to a core area of compliance risk and includes action items to implement immediately.</w:t>
      </w:r>
    </w:p>
    <w:p>
      <w:pPr>
        <w:pStyle w:val="Heading1"/>
      </w:pPr>
      <w:r>
        <w:rPr>
          <w:b/>
          <w:color w:val="003366"/>
          <w:sz w:val="28"/>
        </w:rPr>
        <w:t>1. Determine Jurisdiction</w:t>
      </w:r>
    </w:p>
    <w:p>
      <w:r>
        <w:t>- Identify each employee’s work location and legal residence (not company HQ).</w:t>
      </w:r>
    </w:p>
    <w:p>
      <w:r>
        <w:t>- Research applicable COBRA or mini-COBRA laws for each state.</w:t>
      </w:r>
    </w:p>
    <w:p>
      <w:r>
        <w:t>- Flag employees in states with extensions (CA, NY, NJ, MA, CT, etc.).</w:t>
      </w:r>
    </w:p>
    <w:p>
      <w:pPr>
        <w:pStyle w:val="Heading1"/>
      </w:pPr>
      <w:r>
        <w:rPr>
          <w:b/>
          <w:color w:val="003366"/>
          <w:sz w:val="28"/>
        </w:rPr>
        <w:t>2. Confirm Mailing Address Accuracy</w:t>
      </w:r>
    </w:p>
    <w:p>
      <w:r>
        <w:t>- Require physical mailing address during offboarding.</w:t>
      </w:r>
    </w:p>
    <w:p>
      <w:r>
        <w:t>- Cross-check addresses in HRIS, payroll, and COBRA admin systems.</w:t>
      </w:r>
    </w:p>
    <w:p>
      <w:r>
        <w:t>- Avoid relying on email or digital notice alone.</w:t>
      </w:r>
    </w:p>
    <w:p>
      <w:pPr>
        <w:pStyle w:val="Heading1"/>
      </w:pPr>
      <w:r>
        <w:rPr>
          <w:b/>
          <w:color w:val="003366"/>
          <w:sz w:val="28"/>
        </w:rPr>
        <w:t>3. Track Qualifying Events Accurately</w:t>
      </w:r>
    </w:p>
    <w:p>
      <w:r>
        <w:t>- Standardize how HR logs qualifying events (termination, divorce, Medicare, etc.).</w:t>
      </w:r>
    </w:p>
    <w:p>
      <w:r>
        <w:t>- Communicate each event to your COBRA administrator within 14 days.</w:t>
      </w:r>
    </w:p>
    <w:p>
      <w:r>
        <w:t>- Review if voluntary hour reductions still trigger COBRA.</w:t>
      </w:r>
    </w:p>
    <w:p>
      <w:pPr>
        <w:pStyle w:val="Heading1"/>
      </w:pPr>
      <w:r>
        <w:rPr>
          <w:b/>
          <w:color w:val="003366"/>
          <w:sz w:val="28"/>
        </w:rPr>
        <w:t>4. Verify Timeline Adherence &amp; Delivery Proof</w:t>
      </w:r>
    </w:p>
    <w:p>
      <w:r>
        <w:t>- Log the date of the qualifying event and notice delivery.</w:t>
      </w:r>
    </w:p>
    <w:p>
      <w:r>
        <w:t>- Confirm notices are mailed within 44 days of the event.</w:t>
      </w:r>
    </w:p>
    <w:p>
      <w:r>
        <w:t>- Retain USPS or certified mail proof of delivery.</w:t>
      </w:r>
    </w:p>
    <w:p>
      <w:r>
        <w:t>- Keep timestamped records of employee responses or bounce-backs.</w:t>
      </w:r>
    </w:p>
    <w:p>
      <w:pPr>
        <w:pStyle w:val="Heading1"/>
      </w:pPr>
      <w:r>
        <w:rPr>
          <w:b/>
          <w:color w:val="003366"/>
          <w:sz w:val="28"/>
        </w:rPr>
        <w:t>5. Coordinate with HIPAA &amp; Marketplace Rules</w:t>
      </w:r>
    </w:p>
    <w:p>
      <w:r>
        <w:t>- Remind employees of their option to enroll in ACA marketplace plans.</w:t>
      </w:r>
    </w:p>
    <w:p>
      <w:r>
        <w:t>- Ensure COBRA notices explain rights clearly.</w:t>
      </w:r>
    </w:p>
    <w:p>
      <w:r>
        <w:t>- Offer COBRA first, even if employee chooses ACA coverage later.</w:t>
      </w:r>
    </w:p>
    <w:p>
      <w:pPr>
        <w:pStyle w:val="Heading1"/>
      </w:pPr>
      <w:r>
        <w:rPr>
          <w:b/>
          <w:color w:val="003366"/>
          <w:sz w:val="28"/>
        </w:rPr>
        <w:t>6. Confirm COBRA Vendor Responsibilities</w:t>
      </w:r>
    </w:p>
    <w:p>
      <w:r>
        <w:t>- Audit your vendor's system and workflows.</w:t>
      </w:r>
    </w:p>
    <w:p>
      <w:r>
        <w:t>- Request a COBRA filing and notification sample from past 12 months.</w:t>
      </w:r>
    </w:p>
    <w:p>
      <w:r>
        <w:t>- Set up automated alerts for incomplete or failed notices.</w:t>
      </w:r>
    </w:p>
    <w:p>
      <w:r>
        <w:t>- Ensure vendor supports multi-state nuances.</w:t>
      </w:r>
    </w:p>
    <w:p>
      <w:pPr>
        <w:pStyle w:val="Heading1"/>
      </w:pPr>
      <w:r>
        <w:rPr>
          <w:b/>
          <w:color w:val="003366"/>
          <w:sz w:val="28"/>
        </w:rPr>
        <w:t>7. Retain Documentation for Audits</w:t>
      </w:r>
    </w:p>
    <w:p>
      <w:r>
        <w:t>- Store copies of all COBRA notices for at least 3 years.</w:t>
      </w:r>
    </w:p>
    <w:p>
      <w:r>
        <w:t>- Maintain logs of all sent and received communication.</w:t>
      </w:r>
    </w:p>
    <w:p>
      <w:r>
        <w:t>- Retain proof of employee plan election, waiver, or inactivity.</w:t>
      </w:r>
    </w:p>
    <w:p>
      <w:r>
        <w:br/>
        <w:t>---</w:t>
        <w:br/>
      </w:r>
    </w:p>
    <w:p>
      <w:r>
        <w:rPr>
          <w:b/>
        </w:rPr>
        <w:t>📊 Sample COBRA Timeline Chart</w:t>
      </w:r>
    </w:p>
    <w:p>
      <w:r>
        <w:drawing>
          <wp:inline xmlns:a="http://schemas.openxmlformats.org/drawingml/2006/main" xmlns:pic="http://schemas.openxmlformats.org/drawingml/2006/picture">
            <wp:extent cx="5029200" cy="3352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flat-style_digital_illustration_serves_as_the_c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  <w:t>---</w:t>
        <w:br/>
      </w:r>
    </w:p>
    <w:p>
      <w:r>
        <w:rPr>
          <w:b/>
        </w:rPr>
        <w:t>📋 Address Verification Flow (Checklist)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Step</w:t>
            </w:r>
          </w:p>
        </w:tc>
        <w:tc>
          <w:tcPr>
            <w:tcW w:type="dxa" w:w="4320"/>
          </w:tcPr>
          <w:p>
            <w:r>
              <w:t>Description</w:t>
            </w:r>
          </w:p>
        </w:tc>
      </w:tr>
      <w:tr>
        <w:tc>
          <w:tcPr>
            <w:tcW w:type="dxa" w:w="4320"/>
          </w:tcPr>
          <w:p>
            <w:r>
              <w:t>1</w:t>
            </w:r>
          </w:p>
        </w:tc>
        <w:tc>
          <w:tcPr>
            <w:tcW w:type="dxa" w:w="4320"/>
          </w:tcPr>
          <w:p>
            <w:r>
              <w:t>Verify employee’s physical mailing address at time of exit.</w:t>
            </w:r>
          </w:p>
        </w:tc>
      </w:tr>
      <w:tr>
        <w:tc>
          <w:tcPr>
            <w:tcW w:type="dxa" w:w="4320"/>
          </w:tcPr>
          <w:p>
            <w:r>
              <w:t>2</w:t>
            </w:r>
          </w:p>
        </w:tc>
        <w:tc>
          <w:tcPr>
            <w:tcW w:type="dxa" w:w="4320"/>
          </w:tcPr>
          <w:p>
            <w:r>
              <w:t>Cross-check address with HRIS, payroll, and COBRA admin.</w:t>
            </w:r>
          </w:p>
        </w:tc>
      </w:tr>
      <w:tr>
        <w:tc>
          <w:tcPr>
            <w:tcW w:type="dxa" w:w="4320"/>
          </w:tcPr>
          <w:p>
            <w:r>
              <w:t>3</w:t>
            </w:r>
          </w:p>
        </w:tc>
        <w:tc>
          <w:tcPr>
            <w:tcW w:type="dxa" w:w="4320"/>
          </w:tcPr>
          <w:p>
            <w:r>
              <w:t>Update records immediately before notice is sent.</w:t>
            </w:r>
          </w:p>
        </w:tc>
      </w:tr>
      <w:tr>
        <w:tc>
          <w:tcPr>
            <w:tcW w:type="dxa" w:w="4320"/>
          </w:tcPr>
          <w:p>
            <w:r>
              <w:t>4</w:t>
            </w:r>
          </w:p>
        </w:tc>
        <w:tc>
          <w:tcPr>
            <w:tcW w:type="dxa" w:w="4320"/>
          </w:tcPr>
          <w:p>
            <w:r>
              <w:t>Confirm notice delivery (via USPS or certified mail).</w:t>
            </w:r>
          </w:p>
        </w:tc>
      </w:tr>
      <w:tr>
        <w:tc>
          <w:tcPr>
            <w:tcW w:type="dxa" w:w="4320"/>
          </w:tcPr>
          <w:p>
            <w:r>
              <w:t>5</w:t>
            </w:r>
          </w:p>
        </w:tc>
        <w:tc>
          <w:tcPr>
            <w:tcW w:type="dxa" w:w="4320"/>
          </w:tcPr>
          <w:p>
            <w:r>
              <w:t>Log all steps and timestamps for audit trail.</w:t>
            </w:r>
          </w:p>
        </w:tc>
      </w:tr>
    </w:tbl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t>Taylor Benefits Insurance – Compliance Guide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